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459DD2F8" w14:textId="77777777" w:rsidR="005F1CA5" w:rsidRDefault="005F1CA5" w:rsidP="00315832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5F1CA5">
        <w:rPr>
          <w:rStyle w:val="Strong"/>
          <w:rFonts w:ascii="Segoe UI" w:hAnsi="Segoe UI" w:cs="Segoe UI"/>
          <w:color w:val="212529"/>
        </w:rPr>
        <w:t xml:space="preserve">Targeting MMP9 in CTNNB1 mutant hepatocellular carcinoma </w:t>
      </w:r>
    </w:p>
    <w:p w14:paraId="2F9559CF" w14:textId="559AD52F" w:rsidR="005F1CA5" w:rsidRDefault="005F1CA5" w:rsidP="00BD09A3">
      <w:pPr>
        <w:pStyle w:val="NormalWeb"/>
        <w:shd w:val="clear" w:color="auto" w:fill="FFFFFF"/>
        <w:rPr>
          <w:rStyle w:val="Emphasis"/>
          <w:rFonts w:ascii="Segoe UI" w:hAnsi="Segoe UI" w:cs="Segoe UI"/>
          <w:color w:val="212529"/>
        </w:rPr>
      </w:pPr>
      <w:r w:rsidRPr="005F1CA5">
        <w:rPr>
          <w:rStyle w:val="Emphasis"/>
          <w:rFonts w:ascii="Segoe UI" w:hAnsi="Segoe UI" w:cs="Segoe UI"/>
          <w:color w:val="212529"/>
        </w:rPr>
        <w:t xml:space="preserve">Cai N, Cheng K, Ma Y, et al. </w:t>
      </w:r>
      <w:hyperlink r:id="rId6" w:history="1">
        <w:r w:rsidRPr="005F1CA5">
          <w:rPr>
            <w:rStyle w:val="Hyperlink"/>
            <w:rFonts w:ascii="Segoe UI" w:hAnsi="Segoe UI" w:cs="Segoe UI"/>
          </w:rPr>
          <w:t>Targeting MMP9 in CTNNB1 mutant hepatocellular carcinoma restores CD8+ T cell-mediated antitumour immunity and improves anti-PD-1 efficacy.</w:t>
        </w:r>
      </w:hyperlink>
      <w:r w:rsidRPr="005F1CA5">
        <w:rPr>
          <w:rStyle w:val="Emphasis"/>
          <w:rFonts w:ascii="Segoe UI" w:hAnsi="Segoe UI" w:cs="Segoe UI"/>
          <w:color w:val="212529"/>
        </w:rPr>
        <w:t xml:space="preserve"> Gut 2024;73: 985-999. </w:t>
      </w:r>
      <w:proofErr w:type="spellStart"/>
      <w:r w:rsidRPr="005F1CA5">
        <w:rPr>
          <w:rStyle w:val="Emphasis"/>
          <w:rFonts w:ascii="Segoe UI" w:hAnsi="Segoe UI" w:cs="Segoe UI"/>
          <w:color w:val="212529"/>
        </w:rPr>
        <w:t>doi</w:t>
      </w:r>
      <w:proofErr w:type="spellEnd"/>
      <w:r w:rsidRPr="005F1CA5">
        <w:rPr>
          <w:rStyle w:val="Emphasis"/>
          <w:rFonts w:ascii="Segoe UI" w:hAnsi="Segoe UI" w:cs="Segoe UI"/>
          <w:color w:val="212529"/>
        </w:rPr>
        <w:t>: 10.1136/gutjnl-2023-331342.</w:t>
      </w:r>
    </w:p>
    <w:p w14:paraId="57F68B5F" w14:textId="1F9BA192" w:rsidR="005F1CA5" w:rsidRPr="005F1CA5" w:rsidRDefault="005F1CA5" w:rsidP="005F1CA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5F1CA5">
        <w:rPr>
          <w:rFonts w:ascii="Segoe UI" w:hAnsi="Segoe UI" w:cs="Segoe UI"/>
          <w:color w:val="212529"/>
        </w:rPr>
        <w:t xml:space="preserve">Compared to other types of tumours, hepatocellular carcinoma (HCC) has lower response (15%) to immunotherapy. A third of HCCs have mutations in CTNNB1 (Catenin </w:t>
      </w:r>
      <w:proofErr w:type="gramStart"/>
      <w:r w:rsidRPr="005F1CA5">
        <w:rPr>
          <w:rFonts w:ascii="Segoe UI" w:hAnsi="Segoe UI" w:cs="Segoe UI"/>
          <w:color w:val="212529"/>
        </w:rPr>
        <w:t>beta-1</w:t>
      </w:r>
      <w:proofErr w:type="gramEnd"/>
      <w:r w:rsidRPr="005F1CA5">
        <w:rPr>
          <w:rFonts w:ascii="Segoe UI" w:hAnsi="Segoe UI" w:cs="Segoe UI"/>
          <w:color w:val="212529"/>
        </w:rPr>
        <w:t xml:space="preserve">). Gain of function (GOF) mutations in CTNNB1 are known to reduce T cell and dendritic cell recruitment through the </w:t>
      </w:r>
      <w:proofErr w:type="spellStart"/>
      <w:r w:rsidRPr="005F1CA5">
        <w:rPr>
          <w:rFonts w:ascii="Segoe UI" w:hAnsi="Segoe UI" w:cs="Segoe UI"/>
          <w:color w:val="212529"/>
        </w:rPr>
        <w:t>Wnt</w:t>
      </w:r>
      <w:proofErr w:type="spellEnd"/>
      <w:r w:rsidRPr="005F1CA5">
        <w:rPr>
          <w:rFonts w:ascii="Segoe UI" w:hAnsi="Segoe UI" w:cs="Segoe UI"/>
          <w:color w:val="212529"/>
        </w:rPr>
        <w:t>/beta-catenin pathway, and thus reduce the efficacy of immunotherapy.</w:t>
      </w:r>
    </w:p>
    <w:p w14:paraId="467DEBCD" w14:textId="28D29771" w:rsidR="005F1CA5" w:rsidRPr="005F1CA5" w:rsidRDefault="005F1CA5" w:rsidP="005F1CA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5F1CA5">
        <w:rPr>
          <w:rFonts w:ascii="Segoe UI" w:hAnsi="Segoe UI" w:cs="Segoe UI"/>
          <w:color w:val="212529"/>
        </w:rPr>
        <w:t>To further investigate this, the Cai et al., developed HCC mouse models with CTNNB1-GOF mutations. Flow cytometry showed reduced recruitment of dendritic cells, CD4 and CD8 T cells to the tumour. RNA and gene analysis identified MMP9 (matrix metalloproteinase-9) as the key up-regulated gene, whose expression was associated with shorter survival. This observation was consistent across different available gene datasets from real-life HCC patients.</w:t>
      </w:r>
    </w:p>
    <w:p w14:paraId="18879E1F" w14:textId="523AF5A4" w:rsidR="005F1CA5" w:rsidRPr="005F1CA5" w:rsidRDefault="005F1CA5" w:rsidP="005F1CA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5F1CA5">
        <w:rPr>
          <w:rFonts w:ascii="Segoe UI" w:hAnsi="Segoe UI" w:cs="Segoe UI"/>
          <w:color w:val="212529"/>
        </w:rPr>
        <w:t>Knockdown of MMP9 in HCC mouse models significantly reduced tumour burden, with restoration of a suppressive immune microenvironment. In MM9-knockdown mice, treatment with an antibody that neutralised CD8 (but not CD4) T cells led to increased tumour burden. This suggests MMP9 acts specifically by inhibiting CD8 T cells (with subsequent analysis confirming it is the CXCR3+ (C-X-C Motif Chemokine Receptor 3) subset that is affected).</w:t>
      </w:r>
    </w:p>
    <w:p w14:paraId="7B5F1B0B" w14:textId="25C9CDA6" w:rsidR="00DD3D75" w:rsidRPr="000443E7" w:rsidRDefault="005F1CA5" w:rsidP="005F1CA5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5F1CA5">
        <w:rPr>
          <w:rFonts w:ascii="Segoe UI" w:hAnsi="Segoe UI" w:cs="Segoe UI"/>
          <w:color w:val="212529"/>
        </w:rPr>
        <w:t>Treatment with anti-PD-1 (Programmed cell death protein 1) had higher efficacy in MMP9 knockout HCC models compared to MMP9 wild-type models. Anti-PD-1 was also more effective when combined with a monoclonal antibody against MMP9. Thus, Cai et al., have identified a valuable new drug target to improve the efficacy of immunotherapy in the management of HCC. Further studies are required before translation to clinical trials.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24CD1"/>
    <w:rsid w:val="00150375"/>
    <w:rsid w:val="00246A9F"/>
    <w:rsid w:val="00315832"/>
    <w:rsid w:val="00322EB5"/>
    <w:rsid w:val="00563322"/>
    <w:rsid w:val="005F1CA5"/>
    <w:rsid w:val="008414DC"/>
    <w:rsid w:val="00977218"/>
    <w:rsid w:val="00A6790F"/>
    <w:rsid w:val="00B8275A"/>
    <w:rsid w:val="00BD09A3"/>
    <w:rsid w:val="00C814D5"/>
    <w:rsid w:val="00CF5E7E"/>
    <w:rsid w:val="00DD28E3"/>
    <w:rsid w:val="00DD3D75"/>
    <w:rsid w:val="00EC771E"/>
    <w:rsid w:val="00F12B25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ut.bmj.com/content/73/6/9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515B-B7E6-4C18-BEA6-DF7979FC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2024-07-16T13:29:00Z</dcterms:created>
  <dcterms:modified xsi:type="dcterms:W3CDTF">2024-07-16T13:29:00Z</dcterms:modified>
</cp:coreProperties>
</file>