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42BDCD8C" w14:textId="77777777" w:rsidR="003D0EC1" w:rsidRDefault="003D0EC1" w:rsidP="00FE27C8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 w:rsidRPr="003D0EC1">
        <w:rPr>
          <w:rStyle w:val="Strong"/>
          <w:rFonts w:ascii="Segoe UI" w:hAnsi="Segoe UI" w:cs="Segoe UI"/>
          <w:color w:val="212529"/>
        </w:rPr>
        <w:t>Blood-based colorectal cancer screening in an integrated health system</w:t>
      </w:r>
    </w:p>
    <w:p w14:paraId="7C98361E" w14:textId="6F5F274A" w:rsidR="00191627" w:rsidRDefault="00191627" w:rsidP="00140094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191627">
        <w:rPr>
          <w:rFonts w:ascii="Segoe UI" w:hAnsi="Segoe UI" w:cs="Segoe UI"/>
          <w:color w:val="212529"/>
        </w:rPr>
        <w:t xml:space="preserve">Coronado G, Jenkins C, Shuster E. et al. </w:t>
      </w:r>
      <w:hyperlink r:id="rId5" w:history="1">
        <w:r w:rsidRPr="004B058A">
          <w:rPr>
            <w:rStyle w:val="Hyperlink"/>
            <w:rFonts w:ascii="Segoe UI" w:hAnsi="Segoe UI" w:cs="Segoe UI"/>
          </w:rPr>
          <w:t>Blood-based colorectal cancer screening in an integrated health system: a randomised trial of patient adherence</w:t>
        </w:r>
      </w:hyperlink>
      <w:r w:rsidRPr="00191627">
        <w:rPr>
          <w:rFonts w:ascii="Segoe UI" w:hAnsi="Segoe UI" w:cs="Segoe UI"/>
          <w:color w:val="212529"/>
        </w:rPr>
        <w:t xml:space="preserve">. Gut 2024; 73:622-628. </w:t>
      </w:r>
      <w:proofErr w:type="spellStart"/>
      <w:r w:rsidRPr="00191627">
        <w:rPr>
          <w:rFonts w:ascii="Segoe UI" w:hAnsi="Segoe UI" w:cs="Segoe UI"/>
          <w:color w:val="212529"/>
        </w:rPr>
        <w:t>doi</w:t>
      </w:r>
      <w:proofErr w:type="spellEnd"/>
      <w:r w:rsidRPr="00191627">
        <w:rPr>
          <w:rFonts w:ascii="Segoe UI" w:hAnsi="Segoe UI" w:cs="Segoe UI"/>
          <w:color w:val="212529"/>
        </w:rPr>
        <w:t>: 10.1136/gutjnl-2023-330980.</w:t>
      </w:r>
    </w:p>
    <w:p w14:paraId="289F6B36" w14:textId="7980741F" w:rsidR="00891ACE" w:rsidRPr="00891ACE" w:rsidRDefault="00891ACE" w:rsidP="00891AC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891ACE">
        <w:rPr>
          <w:rFonts w:ascii="Segoe UI" w:hAnsi="Segoe UI" w:cs="Segoe UI"/>
          <w:color w:val="212529"/>
        </w:rPr>
        <w:t>Stool-based colorectal cancer (CRC) screening (e.g., quantitative faecal immunochemical testing [</w:t>
      </w:r>
      <w:proofErr w:type="spellStart"/>
      <w:r w:rsidRPr="00891ACE">
        <w:rPr>
          <w:rFonts w:ascii="Segoe UI" w:hAnsi="Segoe UI" w:cs="Segoe UI"/>
          <w:color w:val="212529"/>
        </w:rPr>
        <w:t>qFIT</w:t>
      </w:r>
      <w:proofErr w:type="spellEnd"/>
      <w:r w:rsidRPr="00891ACE">
        <w:rPr>
          <w:rFonts w:ascii="Segoe UI" w:hAnsi="Segoe UI" w:cs="Segoe UI"/>
          <w:color w:val="212529"/>
        </w:rPr>
        <w:t xml:space="preserve">]) is simple and sensitive, however uptake is suboptimal. Novel blood-based screening tests may provide an </w:t>
      </w:r>
      <w:proofErr w:type="gramStart"/>
      <w:r w:rsidRPr="00891ACE">
        <w:rPr>
          <w:rFonts w:ascii="Segoe UI" w:hAnsi="Segoe UI" w:cs="Segoe UI"/>
          <w:color w:val="212529"/>
        </w:rPr>
        <w:t>alternative, and</w:t>
      </w:r>
      <w:proofErr w:type="gramEnd"/>
      <w:r w:rsidRPr="00891ACE">
        <w:rPr>
          <w:rFonts w:ascii="Segoe UI" w:hAnsi="Segoe UI" w:cs="Segoe UI"/>
          <w:color w:val="212529"/>
        </w:rPr>
        <w:t xml:space="preserve"> have been suggested previously to be preferable to patients. </w:t>
      </w:r>
    </w:p>
    <w:p w14:paraId="78B5952A" w14:textId="3308E8F2" w:rsidR="00891ACE" w:rsidRPr="00891ACE" w:rsidRDefault="00891ACE" w:rsidP="00891AC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891ACE">
        <w:rPr>
          <w:rFonts w:ascii="Segoe UI" w:hAnsi="Segoe UI" w:cs="Segoe UI"/>
          <w:color w:val="212529"/>
        </w:rPr>
        <w:t xml:space="preserve">Coronado et al., undertook a single-centre randomised controlled trial integrating a CRC screening blood test into an established pathway, to assess its effect on overall adherence and total number screened. Eligible patients had been offered but not completed </w:t>
      </w:r>
      <w:proofErr w:type="spellStart"/>
      <w:r w:rsidRPr="00891ACE">
        <w:rPr>
          <w:rFonts w:ascii="Segoe UI" w:hAnsi="Segoe UI" w:cs="Segoe UI"/>
          <w:color w:val="212529"/>
        </w:rPr>
        <w:t>qFIT</w:t>
      </w:r>
      <w:proofErr w:type="spellEnd"/>
      <w:r w:rsidRPr="00891ACE">
        <w:rPr>
          <w:rFonts w:ascii="Segoe UI" w:hAnsi="Segoe UI" w:cs="Segoe UI"/>
          <w:color w:val="212529"/>
        </w:rPr>
        <w:t xml:space="preserve"> in the last 3-9 months. Participants were randomised to either standard of care (including </w:t>
      </w:r>
      <w:proofErr w:type="spellStart"/>
      <w:r w:rsidRPr="00891ACE">
        <w:rPr>
          <w:rFonts w:ascii="Segoe UI" w:hAnsi="Segoe UI" w:cs="Segoe UI"/>
          <w:color w:val="212529"/>
        </w:rPr>
        <w:t>qFIT</w:t>
      </w:r>
      <w:proofErr w:type="spellEnd"/>
      <w:r w:rsidRPr="00891ACE">
        <w:rPr>
          <w:rFonts w:ascii="Segoe UI" w:hAnsi="Segoe UI" w:cs="Segoe UI"/>
          <w:color w:val="212529"/>
        </w:rPr>
        <w:t xml:space="preserve"> reminders) vs. a Guardant </w:t>
      </w:r>
      <w:proofErr w:type="spellStart"/>
      <w:r w:rsidRPr="00891ACE">
        <w:rPr>
          <w:rFonts w:ascii="Segoe UI" w:hAnsi="Segoe UI" w:cs="Segoe UI"/>
          <w:color w:val="212529"/>
        </w:rPr>
        <w:t>ShieldTM</w:t>
      </w:r>
      <w:proofErr w:type="spellEnd"/>
      <w:r w:rsidRPr="00891ACE">
        <w:rPr>
          <w:rFonts w:ascii="Segoe UI" w:hAnsi="Segoe UI" w:cs="Segoe UI"/>
          <w:color w:val="212529"/>
        </w:rPr>
        <w:t xml:space="preserve"> proprietary CRC blood test with an overall 83% sensitivity, returning a dichotomous “normal” or “abnormal” result. Recruitment took place over 5 months. The primary outcome was receipt of any CRC screening test (</w:t>
      </w:r>
      <w:proofErr w:type="spellStart"/>
      <w:r w:rsidRPr="00891ACE">
        <w:rPr>
          <w:rFonts w:ascii="Segoe UI" w:hAnsi="Segoe UI" w:cs="Segoe UI"/>
          <w:color w:val="212529"/>
        </w:rPr>
        <w:t>qFIT</w:t>
      </w:r>
      <w:proofErr w:type="spellEnd"/>
      <w:r w:rsidRPr="00891ACE">
        <w:rPr>
          <w:rFonts w:ascii="Segoe UI" w:hAnsi="Segoe UI" w:cs="Segoe UI"/>
          <w:color w:val="212529"/>
        </w:rPr>
        <w:t xml:space="preserve">, endoscopy, blood test) within 3 months. </w:t>
      </w:r>
    </w:p>
    <w:p w14:paraId="4F8514A6" w14:textId="38543691" w:rsidR="00891ACE" w:rsidRPr="00891ACE" w:rsidRDefault="00891ACE" w:rsidP="00891AC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891ACE">
        <w:rPr>
          <w:rFonts w:ascii="Segoe UI" w:hAnsi="Segoe UI" w:cs="Segoe UI"/>
          <w:color w:val="212529"/>
        </w:rPr>
        <w:t xml:space="preserve">924 patients were recruited to the blood-based intervention (1003 usual care). 30.5% of patients in the intervention group undertook any CRC screening test (66.9% blood test) vs. 13% in the control group. Numbers of patients with abnormal screening tests and numbers proceeding to colonoscopy were similar between groups (follow-up colonoscopy completion within 6 months 55% vs. 67% in intervention and control groups respectively). The only patient characteristic significantly associated with completing screening was prior engagement. </w:t>
      </w:r>
    </w:p>
    <w:p w14:paraId="7B5F1B0B" w14:textId="3F760EDA" w:rsidR="00DD3D75" w:rsidRPr="000443E7" w:rsidRDefault="00891ACE" w:rsidP="00891AC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891ACE">
        <w:rPr>
          <w:rFonts w:ascii="Segoe UI" w:hAnsi="Segoe UI" w:cs="Segoe UI"/>
          <w:color w:val="212529"/>
        </w:rPr>
        <w:t xml:space="preserve">Coronado et al., conclude that blood testing may be preferable to patients compared to </w:t>
      </w:r>
      <w:proofErr w:type="spellStart"/>
      <w:r w:rsidRPr="00891ACE">
        <w:rPr>
          <w:rFonts w:ascii="Segoe UI" w:hAnsi="Segoe UI" w:cs="Segoe UI"/>
          <w:color w:val="212529"/>
        </w:rPr>
        <w:t>qFIT</w:t>
      </w:r>
      <w:proofErr w:type="spellEnd"/>
      <w:r w:rsidRPr="00891ACE">
        <w:rPr>
          <w:rFonts w:ascii="Segoe UI" w:hAnsi="Segoe UI" w:cs="Segoe UI"/>
          <w:color w:val="212529"/>
        </w:rPr>
        <w:t>, and including blood-based tests improve screening adherence. They acknowledge limitations which include additional outreach in the blood test group not offered to those with standard care.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40094"/>
    <w:rsid w:val="00150375"/>
    <w:rsid w:val="00191627"/>
    <w:rsid w:val="001D19ED"/>
    <w:rsid w:val="00246A9F"/>
    <w:rsid w:val="003D0EC1"/>
    <w:rsid w:val="004B058A"/>
    <w:rsid w:val="004F4518"/>
    <w:rsid w:val="007E65BF"/>
    <w:rsid w:val="00891ACE"/>
    <w:rsid w:val="008A20F5"/>
    <w:rsid w:val="0098392B"/>
    <w:rsid w:val="00A6790F"/>
    <w:rsid w:val="00A71F20"/>
    <w:rsid w:val="00B66B74"/>
    <w:rsid w:val="00B8275A"/>
    <w:rsid w:val="00CC6F83"/>
    <w:rsid w:val="00CF5E7E"/>
    <w:rsid w:val="00DD3D75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4/6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11</cp:revision>
  <dcterms:created xsi:type="dcterms:W3CDTF">2024-02-26T14:39:00Z</dcterms:created>
  <dcterms:modified xsi:type="dcterms:W3CDTF">2024-05-14T14:16:00Z</dcterms:modified>
</cp:coreProperties>
</file>