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5F88" w14:textId="741E1719" w:rsidR="008743EE" w:rsidRDefault="004B4D31">
      <w:r>
        <w:rPr>
          <w:rFonts w:ascii="Segoe UI" w:hAnsi="Segoe UI" w:cs="Segoe UI"/>
          <w:b/>
          <w:bCs/>
          <w:noProof/>
          <w:color w:val="212529"/>
        </w:rPr>
        <w:drawing>
          <wp:anchor distT="0" distB="0" distL="114300" distR="114300" simplePos="0" relativeHeight="251659264" behindDoc="0" locked="0" layoutInCell="1" allowOverlap="1" wp14:anchorId="41690B00" wp14:editId="5E419A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DB441" w14:textId="77777777" w:rsidR="00093C9A" w:rsidRDefault="00093C9A" w:rsidP="00093C9A">
      <w:pPr>
        <w:jc w:val="both"/>
        <w:rPr>
          <w:rFonts w:cstheme="minorHAnsi"/>
          <w:b/>
          <w:bCs/>
          <w:iCs/>
        </w:rPr>
      </w:pPr>
    </w:p>
    <w:p w14:paraId="62CB2F06" w14:textId="77777777" w:rsidR="00093C9A" w:rsidRPr="00093C9A" w:rsidRDefault="00093C9A" w:rsidP="00093C9A">
      <w:pPr>
        <w:jc w:val="both"/>
        <w:rPr>
          <w:rFonts w:cstheme="minorHAnsi"/>
          <w:b/>
          <w:bCs/>
          <w:iCs/>
          <w:sz w:val="24"/>
          <w:szCs w:val="24"/>
        </w:rPr>
      </w:pPr>
    </w:p>
    <w:p w14:paraId="24C3470A" w14:textId="77777777" w:rsidR="000A4102" w:rsidRDefault="000A4102" w:rsidP="00DE76EC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  <w:r w:rsidRPr="000A4102">
        <w:rPr>
          <w:rFonts w:cstheme="minorHAnsi"/>
          <w:b/>
          <w:bCs/>
          <w:iCs/>
          <w:sz w:val="28"/>
          <w:szCs w:val="28"/>
          <w:u w:val="single"/>
        </w:rPr>
        <w:t>Serological screening for coeliac disease in an adult general population: the HUNT study</w:t>
      </w:r>
    </w:p>
    <w:p w14:paraId="72AA18F4" w14:textId="77777777" w:rsidR="00A360EC" w:rsidRDefault="00A360EC" w:rsidP="00D75A57">
      <w:pPr>
        <w:jc w:val="both"/>
        <w:rPr>
          <w:rFonts w:cstheme="minorHAnsi"/>
          <w:b/>
          <w:bCs/>
          <w:iCs/>
          <w:sz w:val="28"/>
          <w:szCs w:val="28"/>
        </w:rPr>
      </w:pPr>
      <w:r w:rsidRPr="00A360EC">
        <w:rPr>
          <w:rFonts w:cstheme="minorHAnsi"/>
          <w:b/>
          <w:bCs/>
          <w:iCs/>
          <w:sz w:val="28"/>
          <w:szCs w:val="28"/>
          <w:lang w:val="it-IT"/>
        </w:rPr>
        <w:t xml:space="preserve">Andersen I, Lukina P, Dyrli O, et al. </w:t>
      </w:r>
      <w:r w:rsidRPr="00A360EC">
        <w:rPr>
          <w:rFonts w:cstheme="minorHAnsi"/>
          <w:b/>
          <w:bCs/>
          <w:iCs/>
          <w:sz w:val="28"/>
          <w:szCs w:val="28"/>
        </w:rPr>
        <w:t>Serological screening for coeliac disease in an adult general population: the HUNT study. Gut 2025; 74: 918-925. doi: 10.1136/gutjnl-2024-333886.</w:t>
      </w:r>
    </w:p>
    <w:p w14:paraId="65D608B3" w14:textId="65BF3CA8" w:rsidR="001B5382" w:rsidRPr="001B5382" w:rsidRDefault="001B5382" w:rsidP="001B5382">
      <w:pPr>
        <w:jc w:val="both"/>
        <w:rPr>
          <w:rFonts w:cstheme="minorHAnsi"/>
          <w:iCs/>
          <w:sz w:val="28"/>
          <w:szCs w:val="28"/>
        </w:rPr>
      </w:pPr>
      <w:r w:rsidRPr="001B5382">
        <w:rPr>
          <w:rFonts w:cstheme="minorHAnsi"/>
          <w:iCs/>
          <w:sz w:val="28"/>
          <w:szCs w:val="28"/>
        </w:rPr>
        <w:t>Paediatric guidelines allow for omitting endoscopic biopsies in cases where antitransglutaminase 2 (TG2) immunoglobin A (IgA) levels are ≥10 times the upper limit of normal (ULN) and positive serology for endomysial IgA antibodies are found in a second control sample. Widespread acceptance of this approach in adults is still lacking.</w:t>
      </w:r>
    </w:p>
    <w:p w14:paraId="5F18A041" w14:textId="77777777" w:rsidR="001B5382" w:rsidRPr="001B5382" w:rsidRDefault="001B5382" w:rsidP="001B5382">
      <w:pPr>
        <w:jc w:val="both"/>
        <w:rPr>
          <w:rFonts w:cstheme="minorHAnsi"/>
          <w:iCs/>
          <w:sz w:val="28"/>
          <w:szCs w:val="28"/>
        </w:rPr>
      </w:pPr>
      <w:r w:rsidRPr="001B5382">
        <w:rPr>
          <w:rFonts w:cstheme="minorHAnsi"/>
          <w:iCs/>
          <w:sz w:val="28"/>
          <w:szCs w:val="28"/>
        </w:rPr>
        <w:t xml:space="preserve">The aim of this population-based study was to assess the screening abilities of dual TG2 IgA and IgG (immunoglobin G) assay in diagnosing Coeliac Disease (CeD) and the properties of the assay in a no-biopsy approach in an adult general population. </w:t>
      </w:r>
    </w:p>
    <w:p w14:paraId="077A3490" w14:textId="0D613851" w:rsidR="001B5382" w:rsidRPr="001B5382" w:rsidRDefault="001B5382" w:rsidP="001B5382">
      <w:pPr>
        <w:jc w:val="both"/>
        <w:rPr>
          <w:rFonts w:cstheme="minorHAnsi"/>
          <w:iCs/>
          <w:sz w:val="28"/>
          <w:szCs w:val="28"/>
        </w:rPr>
      </w:pPr>
      <w:r w:rsidRPr="001B5382">
        <w:rPr>
          <w:rFonts w:cstheme="minorHAnsi"/>
          <w:iCs/>
          <w:sz w:val="28"/>
          <w:szCs w:val="28"/>
        </w:rPr>
        <w:t>Serum samples were analysed with a dual TG2 IgA and IgG assay and seropositive participants were invited to endoscopy with duodenal biopsies. A CeD diagnosis was given if mucosal damage (Marsh grade 3) was found.</w:t>
      </w:r>
    </w:p>
    <w:p w14:paraId="718B0A06" w14:textId="2F54B259" w:rsidR="001B5382" w:rsidRPr="001B5382" w:rsidRDefault="001B5382" w:rsidP="001B5382">
      <w:pPr>
        <w:jc w:val="both"/>
        <w:rPr>
          <w:rFonts w:cstheme="minorHAnsi"/>
          <w:iCs/>
          <w:sz w:val="28"/>
          <w:szCs w:val="28"/>
        </w:rPr>
      </w:pPr>
      <w:r w:rsidRPr="001B5382">
        <w:rPr>
          <w:rFonts w:cstheme="minorHAnsi"/>
          <w:iCs/>
          <w:sz w:val="28"/>
          <w:szCs w:val="28"/>
        </w:rPr>
        <w:t>Histological evaluation of 657 seropositive participants confirmed CeD in 423. The positive predictive value (PPV) of a positive TG2 IgA was 73.3% (95% CI 69.7% to 77.0%) for biopsy-confirmed CeD. TG2 IgA ≥10 times the upper limit of normal (ULN), as used in the no-biopsy approach in children, increased the PPV to 88.1% (95% CI 84.8% to 91.4%). Primary TG2 IgG response was found in 87 participants, five of whom had biopsy-confirmed CeD. The PPV of a positive TG2 IgG was 5.8% (95% CI 1.9% to 12.9%) and of TG2 IgG ≥10× ULN was 9.5% (95% CI 1.2% to 30.4%) for biopsy-confirmed CeD in TG2 IgA-negative individuals.</w:t>
      </w:r>
    </w:p>
    <w:p w14:paraId="359AD71F" w14:textId="7E0C8861" w:rsidR="00C8554A" w:rsidRPr="00E807A8" w:rsidRDefault="001B5382" w:rsidP="001B5382">
      <w:pPr>
        <w:jc w:val="both"/>
        <w:rPr>
          <w:rFonts w:cstheme="minorHAnsi"/>
          <w:iCs/>
          <w:sz w:val="20"/>
          <w:szCs w:val="20"/>
        </w:rPr>
      </w:pPr>
      <w:r w:rsidRPr="001B5382">
        <w:rPr>
          <w:rFonts w:cstheme="minorHAnsi"/>
          <w:iCs/>
          <w:sz w:val="28"/>
          <w:szCs w:val="28"/>
        </w:rPr>
        <w:t>Andersen et al. concluded the TG2 IgA assay showed excellent abilities as a screening tool for CeD in the adult general population. Using the ≥10 times upper limit of normal (ULN) for TG2 IgA further increased the PPV, but not to an extent that could justify a no-biopsy approach in this setting. The diagnostic accuracy of TG2 IgG was too poor for selectively identifying individuals with CeD.</w:t>
      </w:r>
    </w:p>
    <w:sectPr w:rsidR="00C8554A" w:rsidRPr="00E80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1"/>
    <w:rsid w:val="00093C9A"/>
    <w:rsid w:val="000A4102"/>
    <w:rsid w:val="00163271"/>
    <w:rsid w:val="0019001B"/>
    <w:rsid w:val="001B5382"/>
    <w:rsid w:val="00225FFA"/>
    <w:rsid w:val="00317CD9"/>
    <w:rsid w:val="00325EE5"/>
    <w:rsid w:val="004B4D31"/>
    <w:rsid w:val="00551781"/>
    <w:rsid w:val="005E2702"/>
    <w:rsid w:val="006360D2"/>
    <w:rsid w:val="00665E23"/>
    <w:rsid w:val="00673BB9"/>
    <w:rsid w:val="007B2395"/>
    <w:rsid w:val="007E13D5"/>
    <w:rsid w:val="00835646"/>
    <w:rsid w:val="00845F78"/>
    <w:rsid w:val="008743EE"/>
    <w:rsid w:val="008D5E63"/>
    <w:rsid w:val="008E4FE3"/>
    <w:rsid w:val="00966D13"/>
    <w:rsid w:val="00996C64"/>
    <w:rsid w:val="00A360EC"/>
    <w:rsid w:val="00B05378"/>
    <w:rsid w:val="00C6293C"/>
    <w:rsid w:val="00C8554A"/>
    <w:rsid w:val="00C94ADA"/>
    <w:rsid w:val="00D6769F"/>
    <w:rsid w:val="00D75A57"/>
    <w:rsid w:val="00DA4F90"/>
    <w:rsid w:val="00DE76EC"/>
    <w:rsid w:val="00E45986"/>
    <w:rsid w:val="00E8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AB886"/>
  <w15:chartTrackingRefBased/>
  <w15:docId w15:val="{F0FF924E-03CB-4C4C-B62B-97248ECA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Preston</dc:creator>
  <cp:keywords/>
  <dc:description/>
  <cp:lastModifiedBy>Maria Mandic</cp:lastModifiedBy>
  <cp:revision>5</cp:revision>
  <dcterms:created xsi:type="dcterms:W3CDTF">2025-07-15T11:08:00Z</dcterms:created>
  <dcterms:modified xsi:type="dcterms:W3CDTF">2025-07-15T11:09:00Z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2237451c-8b48-4877-9858-61c99e12a696</vt:lpwstr>
  </property>
</Properties>
</file>