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EDED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6CCC7489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  <w:r>
        <w:rPr>
          <w:rFonts w:ascii="Segoe UI" w:hAnsi="Segoe UI" w:cs="Segoe UI"/>
          <w:b/>
          <w:bCs/>
          <w:noProof/>
          <w:color w:val="212529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B664798" wp14:editId="334B44B9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2381250" cy="734695"/>
            <wp:effectExtent l="0" t="0" r="0" b="8255"/>
            <wp:wrapSquare wrapText="bothSides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9FAAFF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5A6FE2F5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06452D48" w14:textId="51BE6433" w:rsidR="0016269A" w:rsidRDefault="0016269A" w:rsidP="0031385C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  <w:r w:rsidRPr="0016269A">
        <w:rPr>
          <w:rStyle w:val="Strong"/>
          <w:rFonts w:ascii="Segoe UI" w:hAnsi="Segoe UI" w:cs="Segoe UI"/>
          <w:color w:val="212529"/>
        </w:rPr>
        <w:t xml:space="preserve">Resection margin may represent a quality marker for completeness of </w:t>
      </w:r>
      <w:proofErr w:type="gramStart"/>
      <w:r w:rsidRPr="0016269A">
        <w:rPr>
          <w:rStyle w:val="Strong"/>
          <w:rFonts w:ascii="Segoe UI" w:hAnsi="Segoe UI" w:cs="Segoe UI"/>
          <w:color w:val="212529"/>
        </w:rPr>
        <w:t>polypectomy</w:t>
      </w:r>
      <w:proofErr w:type="gramEnd"/>
    </w:p>
    <w:p w14:paraId="60114B68" w14:textId="1BA72D57" w:rsidR="00507A31" w:rsidRDefault="00507A31" w:rsidP="0031385C">
      <w:pPr>
        <w:pStyle w:val="NormalWeb"/>
        <w:shd w:val="clear" w:color="auto" w:fill="FFFFFF"/>
        <w:spacing w:before="0" w:beforeAutospacing="0"/>
        <w:rPr>
          <w:rStyle w:val="Emphasis"/>
          <w:rFonts w:ascii="Segoe UI" w:hAnsi="Segoe UI" w:cs="Segoe UI"/>
          <w:color w:val="212529"/>
        </w:rPr>
      </w:pPr>
      <w:proofErr w:type="spellStart"/>
      <w:r w:rsidRPr="00507A31">
        <w:rPr>
          <w:rStyle w:val="Emphasis"/>
          <w:rFonts w:ascii="Segoe UI" w:hAnsi="Segoe UI" w:cs="Segoe UI"/>
          <w:color w:val="212529"/>
        </w:rPr>
        <w:t>Taghiakbari</w:t>
      </w:r>
      <w:proofErr w:type="spellEnd"/>
      <w:r w:rsidRPr="00507A31">
        <w:rPr>
          <w:rStyle w:val="Emphasis"/>
          <w:rFonts w:ascii="Segoe UI" w:hAnsi="Segoe UI" w:cs="Segoe UI"/>
          <w:color w:val="212529"/>
        </w:rPr>
        <w:t xml:space="preserve"> M, Anderson J, von </w:t>
      </w:r>
      <w:proofErr w:type="spellStart"/>
      <w:r w:rsidRPr="00507A31">
        <w:rPr>
          <w:rStyle w:val="Emphasis"/>
          <w:rFonts w:ascii="Segoe UI" w:hAnsi="Segoe UI" w:cs="Segoe UI"/>
          <w:color w:val="212529"/>
        </w:rPr>
        <w:t>Renteln</w:t>
      </w:r>
      <w:proofErr w:type="spellEnd"/>
      <w:r w:rsidRPr="00507A31">
        <w:rPr>
          <w:rStyle w:val="Emphasis"/>
          <w:rFonts w:ascii="Segoe UI" w:hAnsi="Segoe UI" w:cs="Segoe UI"/>
          <w:color w:val="212529"/>
        </w:rPr>
        <w:t xml:space="preserve"> D, et al. </w:t>
      </w:r>
      <w:hyperlink r:id="rId5" w:history="1">
        <w:r w:rsidRPr="002C1DA3">
          <w:rPr>
            <w:rStyle w:val="Hyperlink"/>
            <w:rFonts w:ascii="Segoe UI" w:hAnsi="Segoe UI" w:cs="Segoe UI"/>
          </w:rPr>
          <w:t>Extent of normal polyp resection margin: a possible quality measure for polyp resection.</w:t>
        </w:r>
      </w:hyperlink>
      <w:r w:rsidRPr="00507A31">
        <w:rPr>
          <w:rStyle w:val="Emphasis"/>
          <w:rFonts w:ascii="Segoe UI" w:hAnsi="Segoe UI" w:cs="Segoe UI"/>
          <w:color w:val="212529"/>
        </w:rPr>
        <w:t xml:space="preserve"> Gut 2024; 73(2):216-218. </w:t>
      </w:r>
      <w:proofErr w:type="spellStart"/>
      <w:r w:rsidRPr="00507A31">
        <w:rPr>
          <w:rStyle w:val="Emphasis"/>
          <w:rFonts w:ascii="Segoe UI" w:hAnsi="Segoe UI" w:cs="Segoe UI"/>
          <w:color w:val="212529"/>
        </w:rPr>
        <w:t>doi</w:t>
      </w:r>
      <w:proofErr w:type="spellEnd"/>
      <w:r w:rsidRPr="00507A31">
        <w:rPr>
          <w:rStyle w:val="Emphasis"/>
          <w:rFonts w:ascii="Segoe UI" w:hAnsi="Segoe UI" w:cs="Segoe UI"/>
          <w:color w:val="212529"/>
        </w:rPr>
        <w:t>: 10.1136/gutjnl-2023-330727.</w:t>
      </w:r>
    </w:p>
    <w:p w14:paraId="3487F283" w14:textId="778FCB04" w:rsidR="00535D91" w:rsidRPr="00535D91" w:rsidRDefault="00535D91" w:rsidP="00535D91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535D91">
        <w:rPr>
          <w:rFonts w:ascii="Segoe UI" w:hAnsi="Segoe UI" w:cs="Segoe UI"/>
          <w:color w:val="212529"/>
        </w:rPr>
        <w:t xml:space="preserve">Ensuring complete polypectomy is key to prevention of colorectal cancer, and cold snare polypectomy is now recommended for all polyps ≤ 10 mm. A ≥ 2 mm margin of normal surrounding tissue, to optimise resection completeness, was suggested in literature over half a decade ago. However, to-date, there are no published data to support this. Assessment of completeness is hindered currently by limited comprehension of what constitutes a healthy margin. </w:t>
      </w:r>
      <w:proofErr w:type="spellStart"/>
      <w:r w:rsidRPr="00535D91">
        <w:rPr>
          <w:rFonts w:ascii="Segoe UI" w:hAnsi="Segoe UI" w:cs="Segoe UI"/>
          <w:color w:val="212529"/>
        </w:rPr>
        <w:t>Taghiakbari</w:t>
      </w:r>
      <w:proofErr w:type="spellEnd"/>
      <w:r w:rsidRPr="00535D91">
        <w:rPr>
          <w:rFonts w:ascii="Segoe UI" w:hAnsi="Segoe UI" w:cs="Segoe UI"/>
          <w:color w:val="212529"/>
        </w:rPr>
        <w:t xml:space="preserve"> et al., looked to both assess the size of a healthy margin, and to evaluate whether this extent could represent a quality marker for polypectomy in practice.</w:t>
      </w:r>
    </w:p>
    <w:p w14:paraId="70FAD0FF" w14:textId="416D299E" w:rsidR="00535D91" w:rsidRPr="00535D91" w:rsidRDefault="00535D91" w:rsidP="00535D91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535D91">
        <w:rPr>
          <w:rFonts w:ascii="Segoe UI" w:hAnsi="Segoe UI" w:cs="Segoe UI"/>
          <w:color w:val="212529"/>
        </w:rPr>
        <w:t xml:space="preserve">All consecutive adult patients at a single Veterans’ Association Medical Centre referred for an outpatient colonoscopy, who underwent polypectomy of at least one 1–10 mm non-pedunculated polyp, were prospectively included. Resected polyps underwent histological and resection margin assessment, with pathologists rating polypectomies as complete, </w:t>
      </w:r>
      <w:proofErr w:type="gramStart"/>
      <w:r w:rsidRPr="00535D91">
        <w:rPr>
          <w:rFonts w:ascii="Segoe UI" w:hAnsi="Segoe UI" w:cs="Segoe UI"/>
          <w:color w:val="212529"/>
        </w:rPr>
        <w:t>incomplete</w:t>
      </w:r>
      <w:proofErr w:type="gramEnd"/>
      <w:r w:rsidRPr="00535D91">
        <w:rPr>
          <w:rFonts w:ascii="Segoe UI" w:hAnsi="Segoe UI" w:cs="Segoe UI"/>
          <w:color w:val="212529"/>
        </w:rPr>
        <w:t xml:space="preserve"> or equivocal; for complete polypectomies, extent of normal margin was recorded.</w:t>
      </w:r>
    </w:p>
    <w:p w14:paraId="7B5F1B0B" w14:textId="6130A9C4" w:rsidR="00DD3D75" w:rsidRPr="000443E7" w:rsidRDefault="00535D91" w:rsidP="00535D91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535D91">
        <w:rPr>
          <w:rFonts w:ascii="Segoe UI" w:hAnsi="Segoe UI" w:cs="Segoe UI"/>
          <w:color w:val="212529"/>
        </w:rPr>
        <w:t xml:space="preserve">2162 patients were identified, of whom 1124 with 2124 polyps met inclusion criteria (neoplastic polyps, </w:t>
      </w:r>
      <w:proofErr w:type="spellStart"/>
      <w:r w:rsidRPr="00535D91">
        <w:rPr>
          <w:rFonts w:ascii="Segoe UI" w:hAnsi="Segoe UI" w:cs="Segoe UI"/>
          <w:color w:val="212529"/>
        </w:rPr>
        <w:t>en</w:t>
      </w:r>
      <w:proofErr w:type="spellEnd"/>
      <w:r w:rsidRPr="00535D91">
        <w:rPr>
          <w:rFonts w:ascii="Segoe UI" w:hAnsi="Segoe UI" w:cs="Segoe UI"/>
          <w:color w:val="212529"/>
        </w:rPr>
        <w:t xml:space="preserve">-bloc resection, no fragmentation during retrieval/processing, and measurement data available), from whom 1523 polyps remained for which resection completeness could be commented on. Four gastroenterologists (n=902), 14 gastroenterology fellows (n=138) and two surgeons performed polypectomies. Ninety-eight percent of polyps were adenomas, and median size was 4 mm. 1291 (84.8%) were completely removed (R0) and 15.2% were incompletely resected. Complete resection rate was higher for gastroenterologists (88.4%) compared to gastroenterology trainees (82.8%, p=0.003) and surgeons (70%, p&lt;0.001). Among all R0 polyps, the mean extent of a normal margin was 1.5 mm, and a 2 mm margin was only achieved for 27.7%. Otherwise, extent of healthy did vary by expertise of endoscopist </w:t>
      </w:r>
      <w:proofErr w:type="gramStart"/>
      <w:r w:rsidRPr="00535D91">
        <w:rPr>
          <w:rFonts w:ascii="Segoe UI" w:hAnsi="Segoe UI" w:cs="Segoe UI"/>
          <w:color w:val="212529"/>
        </w:rPr>
        <w:t>and also</w:t>
      </w:r>
      <w:proofErr w:type="gramEnd"/>
      <w:r w:rsidRPr="00535D91">
        <w:rPr>
          <w:rFonts w:ascii="Segoe UI" w:hAnsi="Segoe UI" w:cs="Segoe UI"/>
          <w:color w:val="212529"/>
        </w:rPr>
        <w:t xml:space="preserve"> correlated with complete polypectomy, suggesting it may indeed have utility as a quality marker for completeness of polypectomy.</w:t>
      </w:r>
    </w:p>
    <w:sectPr w:rsidR="00DD3D75" w:rsidRPr="000443E7" w:rsidSect="00CF5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7E"/>
    <w:rsid w:val="00043283"/>
    <w:rsid w:val="000443E7"/>
    <w:rsid w:val="00150375"/>
    <w:rsid w:val="0016269A"/>
    <w:rsid w:val="00246A9F"/>
    <w:rsid w:val="002C1DA3"/>
    <w:rsid w:val="0031385C"/>
    <w:rsid w:val="00507A31"/>
    <w:rsid w:val="00535D91"/>
    <w:rsid w:val="00563322"/>
    <w:rsid w:val="00890218"/>
    <w:rsid w:val="00A6790F"/>
    <w:rsid w:val="00B8275A"/>
    <w:rsid w:val="00C814D5"/>
    <w:rsid w:val="00CF5E7E"/>
    <w:rsid w:val="00DD3D75"/>
    <w:rsid w:val="00DE1E27"/>
    <w:rsid w:val="00F1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EBED2"/>
  <w15:chartTrackingRefBased/>
  <w15:docId w15:val="{C8D1D647-7B46-42C9-87AC-01C77944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F5E7E"/>
    <w:rPr>
      <w:b/>
      <w:bCs/>
    </w:rPr>
  </w:style>
  <w:style w:type="character" w:styleId="Emphasis">
    <w:name w:val="Emphasis"/>
    <w:basedOn w:val="DefaultParagraphFont"/>
    <w:uiPriority w:val="20"/>
    <w:qFormat/>
    <w:rsid w:val="00CF5E7E"/>
    <w:rPr>
      <w:i/>
      <w:iCs/>
    </w:rPr>
  </w:style>
  <w:style w:type="character" w:styleId="Hyperlink">
    <w:name w:val="Hyperlink"/>
    <w:basedOn w:val="DefaultParagraphFont"/>
    <w:uiPriority w:val="99"/>
    <w:unhideWhenUsed/>
    <w:rsid w:val="00CF5E7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ut.bmj.com/content/73/2/21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Mandic</dc:creator>
  <cp:keywords/>
  <dc:description/>
  <cp:lastModifiedBy>Maria Mandic</cp:lastModifiedBy>
  <cp:revision>2</cp:revision>
  <dcterms:created xsi:type="dcterms:W3CDTF">2024-03-12T12:50:00Z</dcterms:created>
  <dcterms:modified xsi:type="dcterms:W3CDTF">2024-03-12T12:50:00Z</dcterms:modified>
</cp:coreProperties>
</file>