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7BC491BC" w14:textId="14262DE8" w:rsidR="00551781" w:rsidRPr="00551781" w:rsidRDefault="00551781" w:rsidP="00551781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551781">
        <w:rPr>
          <w:rFonts w:cstheme="minorHAnsi"/>
          <w:b/>
          <w:bCs/>
          <w:iCs/>
          <w:sz w:val="28"/>
          <w:szCs w:val="28"/>
          <w:u w:val="single"/>
        </w:rPr>
        <w:t>Surveillance in inflammatory bowel disease: the HELIOS trial</w:t>
      </w:r>
    </w:p>
    <w:p w14:paraId="3F17C7BE" w14:textId="77777777" w:rsidR="00551781" w:rsidRPr="00551781" w:rsidRDefault="00551781" w:rsidP="00551781">
      <w:pPr>
        <w:jc w:val="both"/>
        <w:rPr>
          <w:rFonts w:cstheme="minorHAnsi"/>
          <w:b/>
          <w:bCs/>
          <w:iCs/>
          <w:sz w:val="28"/>
          <w:szCs w:val="28"/>
        </w:rPr>
      </w:pPr>
      <w:proofErr w:type="spellStart"/>
      <w:r w:rsidRPr="00551781">
        <w:rPr>
          <w:rFonts w:cstheme="minorHAnsi"/>
          <w:b/>
          <w:bCs/>
          <w:iCs/>
          <w:sz w:val="28"/>
          <w:szCs w:val="28"/>
        </w:rPr>
        <w:t>te</w:t>
      </w:r>
      <w:proofErr w:type="spellEnd"/>
      <w:r w:rsidRPr="00551781">
        <w:rPr>
          <w:rFonts w:cstheme="minorHAnsi"/>
          <w:b/>
          <w:bCs/>
          <w:iCs/>
          <w:sz w:val="28"/>
          <w:szCs w:val="28"/>
        </w:rPr>
        <w:t xml:space="preserve"> Groen M, </w:t>
      </w:r>
      <w:proofErr w:type="spellStart"/>
      <w:r w:rsidRPr="00551781">
        <w:rPr>
          <w:rFonts w:cstheme="minorHAnsi"/>
          <w:b/>
          <w:bCs/>
          <w:iCs/>
          <w:sz w:val="28"/>
          <w:szCs w:val="28"/>
        </w:rPr>
        <w:t>Wijnands</w:t>
      </w:r>
      <w:proofErr w:type="spellEnd"/>
      <w:r w:rsidRPr="00551781">
        <w:rPr>
          <w:rFonts w:cstheme="minorHAnsi"/>
          <w:b/>
          <w:bCs/>
          <w:iCs/>
          <w:sz w:val="28"/>
          <w:szCs w:val="28"/>
        </w:rPr>
        <w:t xml:space="preserve"> A, den </w:t>
      </w:r>
      <w:proofErr w:type="spellStart"/>
      <w:r w:rsidRPr="00551781">
        <w:rPr>
          <w:rFonts w:cstheme="minorHAnsi"/>
          <w:b/>
          <w:bCs/>
          <w:iCs/>
          <w:sz w:val="28"/>
          <w:szCs w:val="28"/>
        </w:rPr>
        <w:t>Broeder</w:t>
      </w:r>
      <w:proofErr w:type="spellEnd"/>
      <w:r w:rsidRPr="00551781">
        <w:rPr>
          <w:rFonts w:cstheme="minorHAnsi"/>
          <w:b/>
          <w:bCs/>
          <w:iCs/>
          <w:sz w:val="28"/>
          <w:szCs w:val="28"/>
        </w:rPr>
        <w:t> N</w:t>
      </w:r>
      <w:r w:rsidRPr="00551781">
        <w:rPr>
          <w:rFonts w:cstheme="minorHAnsi"/>
          <w:b/>
          <w:bCs/>
          <w:i/>
          <w:iCs/>
          <w:sz w:val="28"/>
          <w:szCs w:val="28"/>
        </w:rPr>
        <w:t>, et al.</w:t>
      </w:r>
      <w:r w:rsidRPr="00551781">
        <w:rPr>
          <w:rFonts w:cstheme="minorHAnsi"/>
          <w:b/>
          <w:bCs/>
          <w:iCs/>
          <w:sz w:val="28"/>
          <w:szCs w:val="28"/>
        </w:rPr>
        <w:t xml:space="preserve">  Surveillance in inflammatory bowel disease: white light endoscopy with segmental re-inspection versus dye-based chromoendoscopy – a multi-arm randomised controlled trial (HELIOS). </w:t>
      </w:r>
      <w:r w:rsidRPr="00551781">
        <w:rPr>
          <w:rFonts w:cstheme="minorHAnsi"/>
          <w:b/>
          <w:bCs/>
          <w:i/>
          <w:iCs/>
          <w:sz w:val="28"/>
          <w:szCs w:val="28"/>
        </w:rPr>
        <w:t>Gut </w:t>
      </w:r>
      <w:r w:rsidRPr="00551781">
        <w:rPr>
          <w:rFonts w:cstheme="minorHAnsi"/>
          <w:b/>
          <w:bCs/>
          <w:iCs/>
          <w:sz w:val="28"/>
          <w:szCs w:val="28"/>
        </w:rPr>
        <w:t xml:space="preserve">2025; 74: 547-556. </w:t>
      </w:r>
      <w:proofErr w:type="spellStart"/>
      <w:r w:rsidRPr="00551781">
        <w:rPr>
          <w:rFonts w:cstheme="minorHAnsi"/>
          <w:b/>
          <w:bCs/>
          <w:iCs/>
          <w:sz w:val="28"/>
          <w:szCs w:val="28"/>
        </w:rPr>
        <w:t>doi</w:t>
      </w:r>
      <w:proofErr w:type="spellEnd"/>
      <w:r w:rsidRPr="00551781">
        <w:rPr>
          <w:rFonts w:cstheme="minorHAnsi"/>
          <w:b/>
          <w:bCs/>
          <w:iCs/>
          <w:sz w:val="28"/>
          <w:szCs w:val="28"/>
        </w:rPr>
        <w:t>: 10.1136/gutjnl-2024-333446.</w:t>
      </w:r>
    </w:p>
    <w:p w14:paraId="0E5693FA" w14:textId="77777777" w:rsidR="00551781" w:rsidRPr="00551781" w:rsidRDefault="00551781" w:rsidP="00551781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46F70ED3" w14:textId="17BBCD17" w:rsidR="00551781" w:rsidRPr="00551781" w:rsidRDefault="00551781" w:rsidP="00551781">
      <w:pPr>
        <w:jc w:val="both"/>
        <w:rPr>
          <w:rFonts w:cstheme="minorHAnsi"/>
          <w:iCs/>
          <w:sz w:val="24"/>
          <w:szCs w:val="24"/>
        </w:rPr>
      </w:pPr>
      <w:r w:rsidRPr="00551781">
        <w:rPr>
          <w:rFonts w:cstheme="minorHAnsi"/>
          <w:iCs/>
          <w:sz w:val="24"/>
          <w:szCs w:val="24"/>
        </w:rPr>
        <w:t>The HELIOS trial was a multicentre, open-label, randomised controlled trial comparing high-definition (HD) white-light endoscopy (WLE) with segmental re-inspection (HD-WLE-SR; double-pass) to HD-DCE (dye-based chromoendoscopy) and single-pass HD-WLE in patients with colonic IBD undergoing surveillance. Patients were randomised 2:2:1, with the primary aim to test non-inferiority of HD-WLE-SR to DCE and superiority over single-pass WLE in detecting colorectal neoplasia.</w:t>
      </w:r>
    </w:p>
    <w:p w14:paraId="25C00E6B" w14:textId="1AB79A7D" w:rsidR="00551781" w:rsidRPr="00551781" w:rsidRDefault="00551781" w:rsidP="00551781">
      <w:pPr>
        <w:jc w:val="both"/>
        <w:rPr>
          <w:rFonts w:cstheme="minorHAnsi"/>
          <w:iCs/>
          <w:sz w:val="24"/>
          <w:szCs w:val="24"/>
        </w:rPr>
      </w:pPr>
      <w:r w:rsidRPr="00551781">
        <w:rPr>
          <w:rFonts w:cstheme="minorHAnsi"/>
          <w:iCs/>
          <w:sz w:val="24"/>
          <w:szCs w:val="24"/>
        </w:rPr>
        <w:t>The per-protocol analysis included 563 patients: 234 in the HD-WLE-SR group, 214 in the DCE group, and 115 in the single-pass WLE group. Neoplasia detection rates were 10.3% for HD-WLE-SR, 13.1% for DCE, and 6.1% for single-pass WLE. HD-WLE-SR met set non-inferiority criteria compared to DCE (difference −2.8%, lower CI −7.8%, p&lt;0.01), but did not show superiority over single-pass WLE (difference 4.1%, p=0.19).</w:t>
      </w:r>
    </w:p>
    <w:p w14:paraId="1BA9EE71" w14:textId="10AE6A8E" w:rsidR="00551781" w:rsidRPr="00551781" w:rsidRDefault="00551781" w:rsidP="00551781">
      <w:pPr>
        <w:jc w:val="both"/>
        <w:rPr>
          <w:rFonts w:cstheme="minorHAnsi"/>
          <w:iCs/>
          <w:sz w:val="24"/>
          <w:szCs w:val="24"/>
        </w:rPr>
      </w:pPr>
      <w:r w:rsidRPr="00551781">
        <w:rPr>
          <w:rFonts w:cstheme="minorHAnsi"/>
          <w:iCs/>
          <w:sz w:val="24"/>
          <w:szCs w:val="24"/>
        </w:rPr>
        <w:t>Detection rates per 10 minutes of withdrawal time were similar between HD-WLE-SR and DCE (0.062 vs. 0.058, p=0.83). HD-WLE-SR had a shorter withdrawal time compared to DCE (median 19 vs. 26 minutes) and required fewer resection/biopsies of macroscopic lesions (123 vs. 175, p&lt;0.01). One case of high-grade dysplasia was detected in the DCE group, and no colorectal cancers were found. Most lesions (81%) were identified during the first inspection pass for HD-WLE-SR.</w:t>
      </w:r>
    </w:p>
    <w:p w14:paraId="612D29AF" w14:textId="77777777" w:rsidR="00551781" w:rsidRPr="00551781" w:rsidRDefault="00551781" w:rsidP="00551781">
      <w:pPr>
        <w:jc w:val="both"/>
        <w:rPr>
          <w:rFonts w:cstheme="minorHAnsi"/>
          <w:iCs/>
          <w:sz w:val="24"/>
          <w:szCs w:val="24"/>
        </w:rPr>
      </w:pPr>
      <w:proofErr w:type="spellStart"/>
      <w:r w:rsidRPr="00551781">
        <w:rPr>
          <w:rFonts w:cstheme="minorHAnsi"/>
          <w:iCs/>
          <w:sz w:val="24"/>
          <w:szCs w:val="24"/>
        </w:rPr>
        <w:t>te</w:t>
      </w:r>
      <w:proofErr w:type="spellEnd"/>
      <w:r w:rsidRPr="00551781">
        <w:rPr>
          <w:rFonts w:cstheme="minorHAnsi"/>
          <w:iCs/>
          <w:sz w:val="24"/>
          <w:szCs w:val="24"/>
        </w:rPr>
        <w:t xml:space="preserve"> </w:t>
      </w:r>
      <w:proofErr w:type="gramStart"/>
      <w:r w:rsidRPr="00551781">
        <w:rPr>
          <w:rFonts w:cstheme="minorHAnsi"/>
          <w:iCs/>
          <w:sz w:val="24"/>
          <w:szCs w:val="24"/>
        </w:rPr>
        <w:t xml:space="preserve">Groen  </w:t>
      </w:r>
      <w:r w:rsidRPr="00551781">
        <w:rPr>
          <w:rFonts w:cstheme="minorHAnsi"/>
          <w:i/>
          <w:iCs/>
          <w:sz w:val="24"/>
          <w:szCs w:val="24"/>
        </w:rPr>
        <w:t>et al.</w:t>
      </w:r>
      <w:proofErr w:type="gramEnd"/>
      <w:r w:rsidRPr="00551781">
        <w:rPr>
          <w:rFonts w:cstheme="minorHAnsi"/>
          <w:i/>
          <w:iCs/>
          <w:sz w:val="24"/>
          <w:szCs w:val="24"/>
        </w:rPr>
        <w:t>,</w:t>
      </w:r>
      <w:r w:rsidRPr="00551781">
        <w:rPr>
          <w:rFonts w:cstheme="minorHAnsi"/>
          <w:iCs/>
          <w:sz w:val="24"/>
          <w:szCs w:val="24"/>
        </w:rPr>
        <w:t xml:space="preserve"> suggest that DCE’s benefit may relate more to longer inspection time than to dye contrast. Although differences were not statistically significant, a larger sample might have demonstrated clearer advantages for DCE. HD-WLE-SR appears to be a practical and scalable alternative that avoids dye-related limitations. Larger studies are needed to confirm these findings and inform clinical guidelines.</w:t>
      </w:r>
    </w:p>
    <w:p w14:paraId="359AD71F" w14:textId="2C7CB896" w:rsidR="00C8554A" w:rsidRPr="00996C64" w:rsidRDefault="00C8554A" w:rsidP="00551781">
      <w:pPr>
        <w:jc w:val="both"/>
        <w:rPr>
          <w:rFonts w:cstheme="minorHAnsi"/>
          <w:iCs/>
          <w:sz w:val="24"/>
          <w:szCs w:val="24"/>
        </w:rPr>
      </w:pPr>
    </w:p>
    <w:sectPr w:rsidR="00C8554A" w:rsidRPr="00996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317CD9"/>
    <w:rsid w:val="00325EE5"/>
    <w:rsid w:val="004B4D31"/>
    <w:rsid w:val="00551781"/>
    <w:rsid w:val="005E2702"/>
    <w:rsid w:val="006360D2"/>
    <w:rsid w:val="00665E23"/>
    <w:rsid w:val="007B2395"/>
    <w:rsid w:val="00835646"/>
    <w:rsid w:val="008743EE"/>
    <w:rsid w:val="00996C64"/>
    <w:rsid w:val="00C6293C"/>
    <w:rsid w:val="00C8554A"/>
    <w:rsid w:val="00E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1822</Characters>
  <Application>Microsoft Office Word</Application>
  <DocSecurity>0</DocSecurity>
  <Lines>31</Lines>
  <Paragraphs>6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2025-05-07T08:47:00Z</dcterms:created>
  <dcterms:modified xsi:type="dcterms:W3CDTF">2025-05-07T08:47:00Z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