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09EB03D3" w14:textId="164EE007" w:rsidR="00080380" w:rsidRPr="00080380" w:rsidRDefault="00080380" w:rsidP="00080380">
      <w:pPr>
        <w:jc w:val="both"/>
        <w:rPr>
          <w:rFonts w:cstheme="minorHAnsi"/>
          <w:b/>
          <w:bCs/>
          <w:iCs/>
          <w:sz w:val="28"/>
          <w:szCs w:val="28"/>
          <w:u w:val="single"/>
          <w:lang w:val="en-US"/>
        </w:rPr>
      </w:pPr>
      <w:r w:rsidRPr="00080380">
        <w:rPr>
          <w:rFonts w:cstheme="minorHAnsi"/>
          <w:b/>
          <w:bCs/>
          <w:iCs/>
          <w:sz w:val="28"/>
          <w:szCs w:val="28"/>
          <w:u w:val="single"/>
          <w:lang w:val="en-US"/>
        </w:rPr>
        <w:t>Low-coverage whole genome sequencing of low- grade dysplasia strongly predicts advanced neoplasia risk in ulcerative colitis</w:t>
      </w:r>
    </w:p>
    <w:p w14:paraId="17FE69E1" w14:textId="77777777" w:rsidR="00080380" w:rsidRPr="00080380" w:rsidRDefault="00080380" w:rsidP="00080380">
      <w:pPr>
        <w:jc w:val="both"/>
        <w:rPr>
          <w:rFonts w:cstheme="minorHAnsi"/>
          <w:b/>
          <w:bCs/>
          <w:iCs/>
          <w:sz w:val="28"/>
          <w:szCs w:val="28"/>
          <w:lang w:val="en-US"/>
        </w:rPr>
      </w:pPr>
      <w:r w:rsidRPr="00080380">
        <w:rPr>
          <w:rFonts w:cstheme="minorHAnsi"/>
          <w:b/>
          <w:bCs/>
          <w:iCs/>
          <w:sz w:val="28"/>
          <w:szCs w:val="28"/>
          <w:lang w:val="en-US"/>
        </w:rPr>
        <w:t xml:space="preserve">Al-Bakir I, </w:t>
      </w:r>
      <w:proofErr w:type="spellStart"/>
      <w:r w:rsidRPr="00080380">
        <w:rPr>
          <w:rFonts w:cstheme="minorHAnsi"/>
          <w:b/>
          <w:bCs/>
          <w:iCs/>
          <w:sz w:val="28"/>
          <w:szCs w:val="28"/>
          <w:lang w:val="en-US"/>
        </w:rPr>
        <w:t>Curtius</w:t>
      </w:r>
      <w:proofErr w:type="spellEnd"/>
      <w:r w:rsidRPr="00080380">
        <w:rPr>
          <w:rFonts w:cstheme="minorHAnsi"/>
          <w:b/>
          <w:bCs/>
          <w:iCs/>
          <w:sz w:val="28"/>
          <w:szCs w:val="28"/>
          <w:lang w:val="en-US"/>
        </w:rPr>
        <w:t xml:space="preserve"> K, Cresswell G, </w:t>
      </w:r>
      <w:r w:rsidRPr="00080380">
        <w:rPr>
          <w:rFonts w:cstheme="minorHAnsi"/>
          <w:b/>
          <w:bCs/>
          <w:i/>
          <w:iCs/>
          <w:sz w:val="28"/>
          <w:szCs w:val="28"/>
          <w:lang w:val="en-US"/>
        </w:rPr>
        <w:t>et al</w:t>
      </w:r>
      <w:r w:rsidRPr="00080380">
        <w:rPr>
          <w:rFonts w:cstheme="minorHAnsi"/>
          <w:b/>
          <w:bCs/>
          <w:iCs/>
          <w:sz w:val="28"/>
          <w:szCs w:val="28"/>
          <w:lang w:val="en-US"/>
        </w:rPr>
        <w:t xml:space="preserve">. Low-coverage whole genome sequencing of low-grade dysplasia strongly predicts advanced neoplasia risk in ulcerative colitis. </w:t>
      </w:r>
      <w:r w:rsidRPr="00080380">
        <w:rPr>
          <w:rFonts w:cstheme="minorHAnsi"/>
          <w:b/>
          <w:bCs/>
          <w:i/>
          <w:iCs/>
          <w:sz w:val="28"/>
          <w:szCs w:val="28"/>
          <w:lang w:val="en-US"/>
        </w:rPr>
        <w:t>Gut</w:t>
      </w:r>
      <w:r w:rsidRPr="00080380">
        <w:rPr>
          <w:rFonts w:cstheme="minorHAnsi"/>
          <w:b/>
          <w:bCs/>
          <w:iCs/>
          <w:sz w:val="28"/>
          <w:szCs w:val="28"/>
          <w:lang w:val="en-US"/>
        </w:rPr>
        <w:t xml:space="preserve"> 2025;74(5):740-751. doi:10.1136/gutjnl-2024-333353</w:t>
      </w:r>
    </w:p>
    <w:p w14:paraId="1630A75F" w14:textId="77777777" w:rsidR="00080380" w:rsidRPr="00080380" w:rsidRDefault="00080380" w:rsidP="00080380">
      <w:pPr>
        <w:jc w:val="both"/>
        <w:rPr>
          <w:rFonts w:cstheme="minorHAnsi"/>
          <w:b/>
          <w:bCs/>
          <w:iCs/>
          <w:sz w:val="28"/>
          <w:szCs w:val="28"/>
          <w:lang w:val="en-US"/>
        </w:rPr>
      </w:pPr>
    </w:p>
    <w:p w14:paraId="63753345" w14:textId="2D551E18" w:rsidR="00080380" w:rsidRPr="00080380" w:rsidRDefault="00080380" w:rsidP="00080380">
      <w:pPr>
        <w:jc w:val="both"/>
        <w:rPr>
          <w:rFonts w:cstheme="minorHAnsi"/>
          <w:iCs/>
          <w:sz w:val="28"/>
          <w:szCs w:val="28"/>
          <w:lang w:val="en-US"/>
        </w:rPr>
      </w:pPr>
      <w:r w:rsidRPr="00080380">
        <w:rPr>
          <w:rFonts w:cstheme="minorHAnsi"/>
          <w:iCs/>
          <w:sz w:val="28"/>
          <w:szCs w:val="28"/>
          <w:lang w:val="en-US"/>
        </w:rPr>
        <w:t>This study by Al-Bakir et al., evaluates the prognostic utility of low-pass whole genome sequencing (</w:t>
      </w:r>
      <w:proofErr w:type="spellStart"/>
      <w:r w:rsidRPr="00080380">
        <w:rPr>
          <w:rFonts w:cstheme="minorHAnsi"/>
          <w:iCs/>
          <w:sz w:val="28"/>
          <w:szCs w:val="28"/>
          <w:lang w:val="en-US"/>
        </w:rPr>
        <w:t>lpWGS</w:t>
      </w:r>
      <w:proofErr w:type="spellEnd"/>
      <w:r w:rsidRPr="00080380">
        <w:rPr>
          <w:rFonts w:cstheme="minorHAnsi"/>
          <w:iCs/>
          <w:sz w:val="28"/>
          <w:szCs w:val="28"/>
          <w:lang w:val="en-US"/>
        </w:rPr>
        <w:t xml:space="preserve">) to stratify cancer risk in patients with ulcerative colitis (UC) who present with low-grade dysplasia (LGD). In a </w:t>
      </w:r>
      <w:proofErr w:type="spellStart"/>
      <w:r w:rsidRPr="00080380">
        <w:rPr>
          <w:rFonts w:cstheme="minorHAnsi"/>
          <w:iCs/>
          <w:sz w:val="28"/>
          <w:szCs w:val="28"/>
          <w:lang w:val="en-US"/>
        </w:rPr>
        <w:t>multicentre</w:t>
      </w:r>
      <w:proofErr w:type="spellEnd"/>
      <w:r w:rsidRPr="00080380">
        <w:rPr>
          <w:rFonts w:cstheme="minorHAnsi"/>
          <w:iCs/>
          <w:sz w:val="28"/>
          <w:szCs w:val="28"/>
          <w:lang w:val="en-US"/>
        </w:rPr>
        <w:t xml:space="preserve">, retrospective case–control design, Al-Bakir et al., </w:t>
      </w:r>
      <w:proofErr w:type="spellStart"/>
      <w:r w:rsidRPr="00080380">
        <w:rPr>
          <w:rFonts w:cstheme="minorHAnsi"/>
          <w:iCs/>
          <w:sz w:val="28"/>
          <w:szCs w:val="28"/>
          <w:lang w:val="en-US"/>
        </w:rPr>
        <w:t>analysed</w:t>
      </w:r>
      <w:proofErr w:type="spellEnd"/>
      <w:r w:rsidRPr="00080380">
        <w:rPr>
          <w:rFonts w:cstheme="minorHAnsi"/>
          <w:iCs/>
          <w:sz w:val="28"/>
          <w:szCs w:val="28"/>
          <w:lang w:val="en-US"/>
        </w:rPr>
        <w:t xml:space="preserve"> 270 LGD lesions from 122 patients, classifying individuals as progressors (developing high-grade dysplasia [HGD] or colorectal cancer [CRC] within approximately 5 years) or non-progressors. Copy number alterations (CNAs) were quantified from archival formalin-fixed paraffin-embedded (FFPE) LGD biopsies using </w:t>
      </w:r>
      <w:proofErr w:type="spellStart"/>
      <w:r w:rsidRPr="00080380">
        <w:rPr>
          <w:rFonts w:cstheme="minorHAnsi"/>
          <w:iCs/>
          <w:sz w:val="28"/>
          <w:szCs w:val="28"/>
          <w:lang w:val="en-US"/>
        </w:rPr>
        <w:t>lpWGS</w:t>
      </w:r>
      <w:proofErr w:type="spellEnd"/>
    </w:p>
    <w:p w14:paraId="1284219F" w14:textId="6519EA48" w:rsidR="00080380" w:rsidRPr="00080380" w:rsidRDefault="00080380" w:rsidP="00080380">
      <w:pPr>
        <w:jc w:val="both"/>
        <w:rPr>
          <w:rFonts w:cstheme="minorHAnsi"/>
          <w:iCs/>
          <w:sz w:val="28"/>
          <w:szCs w:val="28"/>
          <w:lang w:val="en-US"/>
        </w:rPr>
      </w:pPr>
      <w:r w:rsidRPr="00080380">
        <w:rPr>
          <w:rFonts w:cstheme="minorHAnsi"/>
          <w:iCs/>
          <w:sz w:val="28"/>
          <w:szCs w:val="28"/>
          <w:lang w:val="en-US"/>
        </w:rPr>
        <w:t>The study found that CNA burden was significantly higher in progressors than in non-progressors, and this genomic marker outperformed traditional clinical risk factors such as lesion size, shape, and resection status. A patient was deemed high risk based on high CNA burden (&gt;14.5 segments), chromosome 17 loss, and presence of microsatellite instability (MSI). This score demonstrated high predictive performance in both discovery and validation cohorts, particularly when combined with clinical information (AUC (area under the curve) 0.85–0.95), with positive and negative predictive values exceeding 90% at 5 years.</w:t>
      </w:r>
    </w:p>
    <w:p w14:paraId="1C5CBD59" w14:textId="3B27CD19" w:rsidR="00080380" w:rsidRPr="00080380" w:rsidRDefault="00080380" w:rsidP="00080380">
      <w:pPr>
        <w:jc w:val="both"/>
        <w:rPr>
          <w:rFonts w:cstheme="minorHAnsi"/>
          <w:iCs/>
          <w:sz w:val="28"/>
          <w:szCs w:val="28"/>
          <w:lang w:val="en-US"/>
        </w:rPr>
      </w:pPr>
      <w:r w:rsidRPr="00080380">
        <w:rPr>
          <w:rFonts w:cstheme="minorHAnsi"/>
          <w:iCs/>
          <w:sz w:val="28"/>
          <w:szCs w:val="28"/>
          <w:lang w:val="en-US"/>
        </w:rPr>
        <w:t xml:space="preserve">Multivariate modelling incorporating the genomic score and incomplete LGD resection improved stratification of high-risk patients. Notably, CNA-based predictions were robust despite intralesional heterogeneity, supporting their use in routine samples. The findings also reinforce the concept of field </w:t>
      </w:r>
      <w:proofErr w:type="spellStart"/>
      <w:r w:rsidRPr="00080380">
        <w:rPr>
          <w:rFonts w:cstheme="minorHAnsi"/>
          <w:iCs/>
          <w:sz w:val="28"/>
          <w:szCs w:val="28"/>
          <w:lang w:val="en-US"/>
        </w:rPr>
        <w:t>cancerisation</w:t>
      </w:r>
      <w:proofErr w:type="spellEnd"/>
      <w:r w:rsidRPr="00080380">
        <w:rPr>
          <w:rFonts w:cstheme="minorHAnsi"/>
          <w:iCs/>
          <w:sz w:val="28"/>
          <w:szCs w:val="28"/>
          <w:lang w:val="en-US"/>
        </w:rPr>
        <w:t xml:space="preserve"> in UC, suggesting that CNA-bearing cells extend beyond morphologically dysplastic regions.</w:t>
      </w:r>
    </w:p>
    <w:p w14:paraId="2CD8B44F" w14:textId="77777777" w:rsidR="00080380" w:rsidRPr="00080380" w:rsidRDefault="00080380" w:rsidP="00080380">
      <w:pPr>
        <w:jc w:val="both"/>
        <w:rPr>
          <w:rFonts w:cstheme="minorHAnsi"/>
          <w:iCs/>
          <w:sz w:val="28"/>
          <w:szCs w:val="28"/>
          <w:lang w:val="en-US"/>
        </w:rPr>
      </w:pPr>
      <w:r w:rsidRPr="00080380">
        <w:rPr>
          <w:rFonts w:cstheme="minorHAnsi"/>
          <w:iCs/>
          <w:sz w:val="28"/>
          <w:szCs w:val="28"/>
          <w:lang w:val="en-US"/>
        </w:rPr>
        <w:t xml:space="preserve">In conclusion, </w:t>
      </w:r>
      <w:proofErr w:type="spellStart"/>
      <w:r w:rsidRPr="00080380">
        <w:rPr>
          <w:rFonts w:cstheme="minorHAnsi"/>
          <w:iCs/>
          <w:sz w:val="28"/>
          <w:szCs w:val="28"/>
          <w:lang w:val="en-US"/>
        </w:rPr>
        <w:t>lpWGS</w:t>
      </w:r>
      <w:proofErr w:type="spellEnd"/>
      <w:r w:rsidRPr="00080380">
        <w:rPr>
          <w:rFonts w:cstheme="minorHAnsi"/>
          <w:iCs/>
          <w:sz w:val="28"/>
          <w:szCs w:val="28"/>
          <w:lang w:val="en-US"/>
        </w:rPr>
        <w:t xml:space="preserve">-based CNA profiling is a powerful, cost-efficient, and clinically translatable biomarker for future cancer risk in UC, offering a path to </w:t>
      </w:r>
      <w:r w:rsidRPr="00080380">
        <w:rPr>
          <w:rFonts w:cstheme="minorHAnsi"/>
          <w:iCs/>
          <w:sz w:val="28"/>
          <w:szCs w:val="28"/>
          <w:lang w:val="en-US"/>
        </w:rPr>
        <w:lastRenderedPageBreak/>
        <w:t xml:space="preserve">more </w:t>
      </w:r>
      <w:proofErr w:type="spellStart"/>
      <w:r w:rsidRPr="00080380">
        <w:rPr>
          <w:rFonts w:cstheme="minorHAnsi"/>
          <w:iCs/>
          <w:sz w:val="28"/>
          <w:szCs w:val="28"/>
          <w:lang w:val="en-US"/>
        </w:rPr>
        <w:t>personalised</w:t>
      </w:r>
      <w:proofErr w:type="spellEnd"/>
      <w:r w:rsidRPr="00080380">
        <w:rPr>
          <w:rFonts w:cstheme="minorHAnsi"/>
          <w:iCs/>
          <w:sz w:val="28"/>
          <w:szCs w:val="28"/>
          <w:lang w:val="en-US"/>
        </w:rPr>
        <w:t xml:space="preserve"> and risk-informed management of dysplasia in inflammatory bowel disease.</w:t>
      </w:r>
    </w:p>
    <w:p w14:paraId="359AD71F" w14:textId="423AB668" w:rsidR="00C8554A" w:rsidRPr="00080380" w:rsidRDefault="00C8554A" w:rsidP="00516AFF">
      <w:pPr>
        <w:jc w:val="both"/>
        <w:rPr>
          <w:rFonts w:cstheme="minorHAnsi"/>
          <w:iCs/>
          <w:sz w:val="28"/>
          <w:szCs w:val="28"/>
        </w:rPr>
      </w:pPr>
    </w:p>
    <w:sectPr w:rsidR="00C8554A" w:rsidRPr="00080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80380"/>
    <w:rsid w:val="00093C9A"/>
    <w:rsid w:val="00163271"/>
    <w:rsid w:val="0019001B"/>
    <w:rsid w:val="0021171F"/>
    <w:rsid w:val="00225FFA"/>
    <w:rsid w:val="00317CD9"/>
    <w:rsid w:val="00325EE5"/>
    <w:rsid w:val="004B4D31"/>
    <w:rsid w:val="00516AFF"/>
    <w:rsid w:val="00551781"/>
    <w:rsid w:val="005E2702"/>
    <w:rsid w:val="006360D2"/>
    <w:rsid w:val="00665E23"/>
    <w:rsid w:val="007B2395"/>
    <w:rsid w:val="007E13D5"/>
    <w:rsid w:val="0080619E"/>
    <w:rsid w:val="00835646"/>
    <w:rsid w:val="00845F78"/>
    <w:rsid w:val="008743EE"/>
    <w:rsid w:val="008D5E63"/>
    <w:rsid w:val="00966D13"/>
    <w:rsid w:val="00996C64"/>
    <w:rsid w:val="00B05378"/>
    <w:rsid w:val="00C6293C"/>
    <w:rsid w:val="00C8554A"/>
    <w:rsid w:val="00C94ADA"/>
    <w:rsid w:val="00D6769F"/>
    <w:rsid w:val="00DA4F90"/>
    <w:rsid w:val="00DE76EC"/>
    <w:rsid w:val="00E45986"/>
    <w:rsid w:val="00E807A8"/>
    <w:rsid w:val="00FE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696">
      <w:bodyDiv w:val="1"/>
      <w:marLeft w:val="0"/>
      <w:marRight w:val="0"/>
      <w:marTop w:val="0"/>
      <w:marBottom w:val="0"/>
      <w:divBdr>
        <w:top w:val="none" w:sz="0" w:space="0" w:color="auto"/>
        <w:left w:val="none" w:sz="0" w:space="0" w:color="auto"/>
        <w:bottom w:val="none" w:sz="0" w:space="0" w:color="auto"/>
        <w:right w:val="none" w:sz="0" w:space="0" w:color="auto"/>
      </w:divBdr>
    </w:div>
    <w:div w:id="57674831">
      <w:bodyDiv w:val="1"/>
      <w:marLeft w:val="0"/>
      <w:marRight w:val="0"/>
      <w:marTop w:val="0"/>
      <w:marBottom w:val="0"/>
      <w:divBdr>
        <w:top w:val="none" w:sz="0" w:space="0" w:color="auto"/>
        <w:left w:val="none" w:sz="0" w:space="0" w:color="auto"/>
        <w:bottom w:val="none" w:sz="0" w:space="0" w:color="auto"/>
        <w:right w:val="none" w:sz="0" w:space="0" w:color="auto"/>
      </w:divBdr>
    </w:div>
    <w:div w:id="60980193">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34321504">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312760719">
      <w:bodyDiv w:val="1"/>
      <w:marLeft w:val="0"/>
      <w:marRight w:val="0"/>
      <w:marTop w:val="0"/>
      <w:marBottom w:val="0"/>
      <w:divBdr>
        <w:top w:val="none" w:sz="0" w:space="0" w:color="auto"/>
        <w:left w:val="none" w:sz="0" w:space="0" w:color="auto"/>
        <w:bottom w:val="none" w:sz="0" w:space="0" w:color="auto"/>
        <w:right w:val="none" w:sz="0" w:space="0" w:color="auto"/>
      </w:divBdr>
    </w:div>
    <w:div w:id="332492674">
      <w:bodyDiv w:val="1"/>
      <w:marLeft w:val="0"/>
      <w:marRight w:val="0"/>
      <w:marTop w:val="0"/>
      <w:marBottom w:val="0"/>
      <w:divBdr>
        <w:top w:val="none" w:sz="0" w:space="0" w:color="auto"/>
        <w:left w:val="none" w:sz="0" w:space="0" w:color="auto"/>
        <w:bottom w:val="none" w:sz="0" w:space="0" w:color="auto"/>
        <w:right w:val="none" w:sz="0" w:space="0" w:color="auto"/>
      </w:divBdr>
    </w:div>
    <w:div w:id="383408492">
      <w:bodyDiv w:val="1"/>
      <w:marLeft w:val="0"/>
      <w:marRight w:val="0"/>
      <w:marTop w:val="0"/>
      <w:marBottom w:val="0"/>
      <w:divBdr>
        <w:top w:val="none" w:sz="0" w:space="0" w:color="auto"/>
        <w:left w:val="none" w:sz="0" w:space="0" w:color="auto"/>
        <w:bottom w:val="none" w:sz="0" w:space="0" w:color="auto"/>
        <w:right w:val="none" w:sz="0" w:space="0" w:color="auto"/>
      </w:divBdr>
    </w:div>
    <w:div w:id="407961748">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653946309">
      <w:bodyDiv w:val="1"/>
      <w:marLeft w:val="0"/>
      <w:marRight w:val="0"/>
      <w:marTop w:val="0"/>
      <w:marBottom w:val="0"/>
      <w:divBdr>
        <w:top w:val="none" w:sz="0" w:space="0" w:color="auto"/>
        <w:left w:val="none" w:sz="0" w:space="0" w:color="auto"/>
        <w:bottom w:val="none" w:sz="0" w:space="0" w:color="auto"/>
        <w:right w:val="none" w:sz="0" w:space="0" w:color="auto"/>
      </w:divBdr>
    </w:div>
    <w:div w:id="819152851">
      <w:bodyDiv w:val="1"/>
      <w:marLeft w:val="0"/>
      <w:marRight w:val="0"/>
      <w:marTop w:val="0"/>
      <w:marBottom w:val="0"/>
      <w:divBdr>
        <w:top w:val="none" w:sz="0" w:space="0" w:color="auto"/>
        <w:left w:val="none" w:sz="0" w:space="0" w:color="auto"/>
        <w:bottom w:val="none" w:sz="0" w:space="0" w:color="auto"/>
        <w:right w:val="none" w:sz="0" w:space="0" w:color="auto"/>
      </w:divBdr>
    </w:div>
    <w:div w:id="844634717">
      <w:bodyDiv w:val="1"/>
      <w:marLeft w:val="0"/>
      <w:marRight w:val="0"/>
      <w:marTop w:val="0"/>
      <w:marBottom w:val="0"/>
      <w:divBdr>
        <w:top w:val="none" w:sz="0" w:space="0" w:color="auto"/>
        <w:left w:val="none" w:sz="0" w:space="0" w:color="auto"/>
        <w:bottom w:val="none" w:sz="0" w:space="0" w:color="auto"/>
        <w:right w:val="none" w:sz="0" w:space="0" w:color="auto"/>
      </w:divBdr>
    </w:div>
    <w:div w:id="944116093">
      <w:bodyDiv w:val="1"/>
      <w:marLeft w:val="0"/>
      <w:marRight w:val="0"/>
      <w:marTop w:val="0"/>
      <w:marBottom w:val="0"/>
      <w:divBdr>
        <w:top w:val="none" w:sz="0" w:space="0" w:color="auto"/>
        <w:left w:val="none" w:sz="0" w:space="0" w:color="auto"/>
        <w:bottom w:val="none" w:sz="0" w:space="0" w:color="auto"/>
        <w:right w:val="none" w:sz="0" w:space="0" w:color="auto"/>
      </w:divBdr>
    </w:div>
    <w:div w:id="994454879">
      <w:bodyDiv w:val="1"/>
      <w:marLeft w:val="0"/>
      <w:marRight w:val="0"/>
      <w:marTop w:val="0"/>
      <w:marBottom w:val="0"/>
      <w:divBdr>
        <w:top w:val="none" w:sz="0" w:space="0" w:color="auto"/>
        <w:left w:val="none" w:sz="0" w:space="0" w:color="auto"/>
        <w:bottom w:val="none" w:sz="0" w:space="0" w:color="auto"/>
        <w:right w:val="none" w:sz="0" w:space="0" w:color="auto"/>
      </w:divBdr>
    </w:div>
    <w:div w:id="1533610605">
      <w:bodyDiv w:val="1"/>
      <w:marLeft w:val="0"/>
      <w:marRight w:val="0"/>
      <w:marTop w:val="0"/>
      <w:marBottom w:val="0"/>
      <w:divBdr>
        <w:top w:val="none" w:sz="0" w:space="0" w:color="auto"/>
        <w:left w:val="none" w:sz="0" w:space="0" w:color="auto"/>
        <w:bottom w:val="none" w:sz="0" w:space="0" w:color="auto"/>
        <w:right w:val="none" w:sz="0" w:space="0" w:color="auto"/>
      </w:divBdr>
    </w:div>
    <w:div w:id="1576548505">
      <w:bodyDiv w:val="1"/>
      <w:marLeft w:val="0"/>
      <w:marRight w:val="0"/>
      <w:marTop w:val="0"/>
      <w:marBottom w:val="0"/>
      <w:divBdr>
        <w:top w:val="none" w:sz="0" w:space="0" w:color="auto"/>
        <w:left w:val="none" w:sz="0" w:space="0" w:color="auto"/>
        <w:bottom w:val="none" w:sz="0" w:space="0" w:color="auto"/>
        <w:right w:val="none" w:sz="0" w:space="0" w:color="auto"/>
      </w:divBdr>
    </w:div>
    <w:div w:id="1593511488">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647663655">
      <w:bodyDiv w:val="1"/>
      <w:marLeft w:val="0"/>
      <w:marRight w:val="0"/>
      <w:marTop w:val="0"/>
      <w:marBottom w:val="0"/>
      <w:divBdr>
        <w:top w:val="none" w:sz="0" w:space="0" w:color="auto"/>
        <w:left w:val="none" w:sz="0" w:space="0" w:color="auto"/>
        <w:bottom w:val="none" w:sz="0" w:space="0" w:color="auto"/>
        <w:right w:val="none" w:sz="0" w:space="0" w:color="auto"/>
      </w:divBdr>
    </w:div>
    <w:div w:id="1710447600">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0955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1930</Characters>
  <Application>Microsoft Office Word</Application>
  <DocSecurity>0</DocSecurity>
  <Lines>36</Lines>
  <Paragraphs>6</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2025-06-18T11:06:00Z</dcterms:created>
  <dcterms:modified xsi:type="dcterms:W3CDTF">2025-06-18T11:06:00Z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2237451c-8b48-4877-9858-61c99e12a696</vt:lpwstr>
  </property>
</Properties>
</file>